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EF" w:rsidRPr="002B1D95" w:rsidRDefault="009045EF" w:rsidP="009045EF">
      <w:pPr>
        <w:rPr>
          <w:rFonts w:ascii="Arial" w:hAnsi="Arial" w:cs="Arial"/>
          <w:b/>
          <w:sz w:val="24"/>
          <w:szCs w:val="24"/>
          <w:u w:val="single"/>
        </w:rPr>
      </w:pPr>
      <w:bookmarkStart w:id="0" w:name="_GoBack"/>
      <w:bookmarkEnd w:id="0"/>
      <w:r w:rsidRPr="002B1D95">
        <w:rPr>
          <w:rFonts w:ascii="Arial" w:hAnsi="Arial" w:cs="Arial"/>
          <w:b/>
          <w:sz w:val="24"/>
          <w:szCs w:val="24"/>
          <w:u w:val="single"/>
        </w:rPr>
        <w:t>What is a Governing Body?</w:t>
      </w:r>
    </w:p>
    <w:p w:rsidR="009045EF" w:rsidRPr="002B1D95" w:rsidRDefault="009045EF" w:rsidP="009045EF">
      <w:pPr>
        <w:rPr>
          <w:rFonts w:ascii="Arial" w:hAnsi="Arial" w:cs="Arial"/>
          <w:sz w:val="24"/>
          <w:szCs w:val="24"/>
        </w:rPr>
      </w:pPr>
      <w:r w:rsidRPr="002B1D95">
        <w:rPr>
          <w:rFonts w:ascii="Arial" w:hAnsi="Arial" w:cs="Arial"/>
          <w:sz w:val="24"/>
          <w:szCs w:val="24"/>
        </w:rPr>
        <w:t>All state funded schools are required by law to have a governing body. The Governing body oversees the development of the school but does not deal with the day to day management of the school, this is dealt with by the Headteacher.</w:t>
      </w:r>
    </w:p>
    <w:p w:rsidR="009045EF" w:rsidRPr="002B1D95" w:rsidRDefault="009045EF" w:rsidP="009045EF">
      <w:pPr>
        <w:rPr>
          <w:rFonts w:ascii="Arial" w:hAnsi="Arial" w:cs="Arial"/>
          <w:sz w:val="24"/>
          <w:szCs w:val="24"/>
        </w:rPr>
      </w:pPr>
      <w:r w:rsidRPr="002B1D95">
        <w:rPr>
          <w:rFonts w:ascii="Arial" w:hAnsi="Arial" w:cs="Arial"/>
          <w:sz w:val="24"/>
          <w:szCs w:val="24"/>
        </w:rPr>
        <w:t>Our main responsibilities are:</w:t>
      </w:r>
    </w:p>
    <w:p w:rsidR="009045EF" w:rsidRPr="002B1D95" w:rsidRDefault="009045EF" w:rsidP="009045EF">
      <w:pPr>
        <w:pStyle w:val="ListParagraph"/>
        <w:numPr>
          <w:ilvl w:val="0"/>
          <w:numId w:val="1"/>
        </w:numPr>
        <w:rPr>
          <w:rFonts w:ascii="Arial" w:hAnsi="Arial" w:cs="Arial"/>
          <w:sz w:val="24"/>
          <w:szCs w:val="24"/>
        </w:rPr>
      </w:pPr>
      <w:r w:rsidRPr="002B1D95">
        <w:rPr>
          <w:rFonts w:ascii="Arial" w:hAnsi="Arial" w:cs="Arial"/>
          <w:sz w:val="24"/>
          <w:szCs w:val="24"/>
        </w:rPr>
        <w:t>Help set the schools aims and objectives</w:t>
      </w:r>
    </w:p>
    <w:p w:rsidR="009045EF" w:rsidRPr="002B1D95" w:rsidRDefault="009045EF" w:rsidP="009045EF">
      <w:pPr>
        <w:pStyle w:val="ListParagraph"/>
        <w:numPr>
          <w:ilvl w:val="0"/>
          <w:numId w:val="1"/>
        </w:numPr>
        <w:rPr>
          <w:rFonts w:ascii="Arial" w:hAnsi="Arial" w:cs="Arial"/>
          <w:sz w:val="24"/>
          <w:szCs w:val="24"/>
        </w:rPr>
      </w:pPr>
      <w:r w:rsidRPr="002B1D95">
        <w:rPr>
          <w:rFonts w:ascii="Arial" w:hAnsi="Arial" w:cs="Arial"/>
          <w:sz w:val="24"/>
          <w:szCs w:val="24"/>
        </w:rPr>
        <w:t>Allocate and control the schools budget from funding of staff to investigating in buildings or equipment</w:t>
      </w:r>
    </w:p>
    <w:p w:rsidR="009045EF" w:rsidRPr="002B1D95" w:rsidRDefault="009045EF" w:rsidP="009045EF">
      <w:pPr>
        <w:pStyle w:val="ListParagraph"/>
        <w:numPr>
          <w:ilvl w:val="0"/>
          <w:numId w:val="1"/>
        </w:numPr>
        <w:rPr>
          <w:rFonts w:ascii="Arial" w:hAnsi="Arial" w:cs="Arial"/>
          <w:sz w:val="24"/>
          <w:szCs w:val="24"/>
        </w:rPr>
      </w:pPr>
      <w:r w:rsidRPr="002B1D95">
        <w:rPr>
          <w:rFonts w:ascii="Arial" w:hAnsi="Arial" w:cs="Arial"/>
          <w:sz w:val="24"/>
          <w:szCs w:val="24"/>
        </w:rPr>
        <w:t>Support and challenge the head teacher and together take positives steps to improve the school</w:t>
      </w:r>
    </w:p>
    <w:p w:rsidR="009045EF" w:rsidRPr="002B1D95" w:rsidRDefault="009045EF" w:rsidP="009045EF">
      <w:pPr>
        <w:pStyle w:val="ListParagraph"/>
        <w:numPr>
          <w:ilvl w:val="0"/>
          <w:numId w:val="1"/>
        </w:numPr>
        <w:rPr>
          <w:rFonts w:ascii="Arial" w:hAnsi="Arial" w:cs="Arial"/>
          <w:sz w:val="24"/>
          <w:szCs w:val="24"/>
        </w:rPr>
      </w:pPr>
      <w:r w:rsidRPr="002B1D95">
        <w:rPr>
          <w:rFonts w:ascii="Arial" w:hAnsi="Arial" w:cs="Arial"/>
          <w:sz w:val="24"/>
          <w:szCs w:val="24"/>
        </w:rPr>
        <w:t>Monitor and evaluate progress</w:t>
      </w:r>
    </w:p>
    <w:p w:rsidR="009045EF" w:rsidRPr="002B1D95" w:rsidRDefault="009045EF" w:rsidP="009045EF">
      <w:pPr>
        <w:pStyle w:val="ListParagraph"/>
        <w:numPr>
          <w:ilvl w:val="0"/>
          <w:numId w:val="1"/>
        </w:numPr>
        <w:rPr>
          <w:rFonts w:ascii="Arial" w:hAnsi="Arial" w:cs="Arial"/>
          <w:sz w:val="24"/>
          <w:szCs w:val="24"/>
        </w:rPr>
      </w:pPr>
      <w:r w:rsidRPr="002B1D95">
        <w:rPr>
          <w:rFonts w:ascii="Arial" w:hAnsi="Arial" w:cs="Arial"/>
          <w:sz w:val="24"/>
          <w:szCs w:val="24"/>
        </w:rPr>
        <w:t>Appoint senior staff</w:t>
      </w:r>
    </w:p>
    <w:p w:rsidR="009045EF" w:rsidRPr="002B1D95" w:rsidRDefault="009045EF" w:rsidP="009045EF">
      <w:pPr>
        <w:pStyle w:val="ListParagraph"/>
        <w:numPr>
          <w:ilvl w:val="0"/>
          <w:numId w:val="1"/>
        </w:numPr>
        <w:rPr>
          <w:rFonts w:ascii="Arial" w:hAnsi="Arial" w:cs="Arial"/>
          <w:sz w:val="24"/>
          <w:szCs w:val="24"/>
        </w:rPr>
      </w:pPr>
      <w:r w:rsidRPr="002B1D95">
        <w:rPr>
          <w:rFonts w:ascii="Arial" w:hAnsi="Arial" w:cs="Arial"/>
          <w:sz w:val="24"/>
          <w:szCs w:val="24"/>
        </w:rPr>
        <w:t>Ensure the accountability of the school in line with statutory requirements</w:t>
      </w:r>
    </w:p>
    <w:p w:rsidR="009045EF" w:rsidRPr="002B1D95" w:rsidRDefault="009045EF" w:rsidP="009045EF">
      <w:pPr>
        <w:spacing w:after="0" w:line="240" w:lineRule="auto"/>
        <w:rPr>
          <w:rFonts w:ascii="Arial" w:eastAsia="Times New Roman" w:hAnsi="Arial" w:cs="Arial"/>
          <w:sz w:val="24"/>
          <w:szCs w:val="24"/>
          <w:lang w:eastAsia="en-GB"/>
        </w:rPr>
      </w:pPr>
      <w:r w:rsidRPr="002B1D95">
        <w:rPr>
          <w:rFonts w:ascii="Arial" w:eastAsia="Times New Roman" w:hAnsi="Arial" w:cs="Arial"/>
          <w:sz w:val="24"/>
          <w:szCs w:val="24"/>
          <w:lang w:eastAsia="en-GB"/>
        </w:rPr>
        <w:t xml:space="preserve">Governors usually serve a term of four years on the Governing Body. The role of a school governor is far reaching with a wide range of possibilities. Governors help to form the school’s strategic aims, policies and targets and support the school’s drive for improvement. They act as ‘critical friends’ to the school through monitoring and evaluating progress and ensuring compliance with statutory responsibilities. Full Governing Body meetings are held each term. </w:t>
      </w:r>
    </w:p>
    <w:p w:rsidR="009045EF" w:rsidRPr="002B1D95" w:rsidRDefault="009045EF" w:rsidP="009045EF">
      <w:pPr>
        <w:spacing w:after="0" w:line="240" w:lineRule="auto"/>
        <w:rPr>
          <w:rFonts w:ascii="Arial" w:eastAsia="Times New Roman" w:hAnsi="Arial" w:cs="Arial"/>
          <w:sz w:val="24"/>
          <w:szCs w:val="24"/>
          <w:lang w:eastAsia="en-GB"/>
        </w:rPr>
      </w:pPr>
      <w:r w:rsidRPr="002B1D95">
        <w:rPr>
          <w:rFonts w:ascii="Arial" w:eastAsia="Times New Roman" w:hAnsi="Arial" w:cs="Arial"/>
          <w:sz w:val="24"/>
          <w:szCs w:val="24"/>
          <w:lang w:eastAsia="en-GB"/>
        </w:rPr>
        <w:t>The governing body is made up in equal portion of Parent Governors, Staff Governors and Co-opted Governors. At Lenham we have the following:</w:t>
      </w:r>
    </w:p>
    <w:p w:rsidR="009045EF" w:rsidRPr="002B1D95" w:rsidRDefault="009045EF" w:rsidP="009045EF">
      <w:pPr>
        <w:spacing w:after="0" w:line="240" w:lineRule="auto"/>
        <w:rPr>
          <w:rFonts w:ascii="Arial" w:eastAsia="Times New Roman" w:hAnsi="Arial" w:cs="Arial"/>
          <w:sz w:val="24"/>
          <w:szCs w:val="24"/>
          <w:lang w:eastAsia="en-GB"/>
        </w:rPr>
      </w:pPr>
    </w:p>
    <w:p w:rsidR="009045EF" w:rsidRPr="002B1D95" w:rsidRDefault="009045EF" w:rsidP="009045EF">
      <w:pPr>
        <w:spacing w:after="0" w:line="240" w:lineRule="auto"/>
        <w:rPr>
          <w:rFonts w:ascii="Arial" w:eastAsia="Times New Roman" w:hAnsi="Arial" w:cs="Arial"/>
          <w:sz w:val="24"/>
          <w:szCs w:val="24"/>
          <w:lang w:eastAsia="en-GB"/>
        </w:rPr>
      </w:pPr>
      <w:r w:rsidRPr="002B1D95">
        <w:rPr>
          <w:rFonts w:ascii="Arial" w:eastAsia="Times New Roman" w:hAnsi="Arial" w:cs="Arial"/>
          <w:b/>
          <w:sz w:val="24"/>
          <w:szCs w:val="24"/>
          <w:lang w:eastAsia="en-GB"/>
        </w:rPr>
        <w:t>Parent Governors</w:t>
      </w:r>
      <w:r w:rsidRPr="002B1D95">
        <w:rPr>
          <w:rFonts w:ascii="Arial" w:eastAsia="Times New Roman" w:hAnsi="Arial" w:cs="Arial"/>
          <w:sz w:val="24"/>
          <w:szCs w:val="24"/>
          <w:lang w:eastAsia="en-GB"/>
        </w:rPr>
        <w:t>:</w:t>
      </w:r>
    </w:p>
    <w:p w:rsidR="009045EF" w:rsidRPr="002B1D95" w:rsidRDefault="009045EF" w:rsidP="009045EF">
      <w:pPr>
        <w:spacing w:after="0" w:line="240" w:lineRule="auto"/>
        <w:rPr>
          <w:rFonts w:ascii="Arial" w:eastAsia="Times New Roman" w:hAnsi="Arial" w:cs="Arial"/>
          <w:sz w:val="24"/>
          <w:szCs w:val="24"/>
          <w:lang w:eastAsia="en-GB"/>
        </w:rPr>
      </w:pPr>
    </w:p>
    <w:p w:rsidR="009045EF" w:rsidRPr="002B1D95" w:rsidRDefault="009045EF" w:rsidP="009045EF">
      <w:pPr>
        <w:spacing w:after="0" w:line="240" w:lineRule="auto"/>
        <w:rPr>
          <w:rFonts w:ascii="Arial" w:eastAsia="Times New Roman" w:hAnsi="Arial" w:cs="Arial"/>
          <w:sz w:val="24"/>
          <w:szCs w:val="24"/>
          <w:lang w:eastAsia="en-GB"/>
        </w:rPr>
      </w:pPr>
      <w:r w:rsidRPr="002B1D95">
        <w:rPr>
          <w:rFonts w:ascii="Arial" w:eastAsia="Times New Roman" w:hAnsi="Arial" w:cs="Arial"/>
          <w:sz w:val="24"/>
          <w:szCs w:val="24"/>
          <w:lang w:eastAsia="en-GB"/>
        </w:rPr>
        <w:t>Ceri Norey (Chair), Paul Culver, Lorraine Hattrait and Rory Costain</w:t>
      </w:r>
    </w:p>
    <w:p w:rsidR="009045EF" w:rsidRPr="002B1D95" w:rsidRDefault="009045EF" w:rsidP="009045EF">
      <w:pPr>
        <w:spacing w:after="0" w:line="240" w:lineRule="auto"/>
        <w:rPr>
          <w:rFonts w:ascii="Arial" w:eastAsia="Times New Roman" w:hAnsi="Arial" w:cs="Arial"/>
          <w:sz w:val="24"/>
          <w:szCs w:val="24"/>
          <w:lang w:eastAsia="en-GB"/>
        </w:rPr>
      </w:pPr>
    </w:p>
    <w:p w:rsidR="009045EF" w:rsidRPr="002B1D95" w:rsidRDefault="009045EF" w:rsidP="009045EF">
      <w:pPr>
        <w:spacing w:after="0" w:line="240" w:lineRule="auto"/>
        <w:rPr>
          <w:rFonts w:ascii="Arial" w:eastAsia="Times New Roman" w:hAnsi="Arial" w:cs="Arial"/>
          <w:b/>
          <w:sz w:val="24"/>
          <w:szCs w:val="24"/>
          <w:lang w:eastAsia="en-GB"/>
        </w:rPr>
      </w:pPr>
      <w:r w:rsidRPr="002B1D95">
        <w:rPr>
          <w:rFonts w:ascii="Arial" w:eastAsia="Times New Roman" w:hAnsi="Arial" w:cs="Arial"/>
          <w:b/>
          <w:sz w:val="24"/>
          <w:szCs w:val="24"/>
          <w:lang w:eastAsia="en-GB"/>
        </w:rPr>
        <w:t>Staff Governors:</w:t>
      </w:r>
    </w:p>
    <w:p w:rsidR="009045EF" w:rsidRPr="002B1D95" w:rsidRDefault="009045EF" w:rsidP="009045EF">
      <w:pPr>
        <w:spacing w:after="0" w:line="240" w:lineRule="auto"/>
        <w:rPr>
          <w:rFonts w:ascii="Arial" w:eastAsia="Times New Roman" w:hAnsi="Arial" w:cs="Arial"/>
          <w:sz w:val="24"/>
          <w:szCs w:val="24"/>
          <w:lang w:eastAsia="en-GB"/>
        </w:rPr>
      </w:pPr>
    </w:p>
    <w:p w:rsidR="009045EF" w:rsidRPr="002B1D95" w:rsidRDefault="009045EF" w:rsidP="009045EF">
      <w:pPr>
        <w:spacing w:after="0" w:line="240" w:lineRule="auto"/>
        <w:rPr>
          <w:rFonts w:ascii="Arial" w:eastAsia="Times New Roman" w:hAnsi="Arial" w:cs="Arial"/>
          <w:sz w:val="24"/>
          <w:szCs w:val="24"/>
          <w:lang w:eastAsia="en-GB"/>
        </w:rPr>
      </w:pPr>
      <w:r w:rsidRPr="002B1D95">
        <w:rPr>
          <w:rFonts w:ascii="Arial" w:eastAsia="Times New Roman" w:hAnsi="Arial" w:cs="Arial"/>
          <w:sz w:val="24"/>
          <w:szCs w:val="24"/>
          <w:lang w:eastAsia="en-GB"/>
        </w:rPr>
        <w:t>Karl Flood and Karen Smith.</w:t>
      </w:r>
    </w:p>
    <w:p w:rsidR="009045EF" w:rsidRPr="002B1D95" w:rsidRDefault="009045EF" w:rsidP="009045EF">
      <w:pPr>
        <w:spacing w:after="0" w:line="240" w:lineRule="auto"/>
        <w:rPr>
          <w:rFonts w:ascii="Arial" w:eastAsia="Times New Roman" w:hAnsi="Arial" w:cs="Arial"/>
          <w:sz w:val="24"/>
          <w:szCs w:val="24"/>
          <w:lang w:eastAsia="en-GB"/>
        </w:rPr>
      </w:pPr>
    </w:p>
    <w:p w:rsidR="009045EF" w:rsidRPr="002B1D95" w:rsidRDefault="009045EF" w:rsidP="009045EF">
      <w:pPr>
        <w:spacing w:after="0" w:line="240" w:lineRule="auto"/>
        <w:rPr>
          <w:rFonts w:ascii="Arial" w:eastAsia="Times New Roman" w:hAnsi="Arial" w:cs="Arial"/>
          <w:b/>
          <w:sz w:val="24"/>
          <w:szCs w:val="24"/>
          <w:lang w:eastAsia="en-GB"/>
        </w:rPr>
      </w:pPr>
      <w:r w:rsidRPr="002B1D95">
        <w:rPr>
          <w:rFonts w:ascii="Arial" w:eastAsia="Times New Roman" w:hAnsi="Arial" w:cs="Arial"/>
          <w:b/>
          <w:sz w:val="24"/>
          <w:szCs w:val="24"/>
          <w:lang w:eastAsia="en-GB"/>
        </w:rPr>
        <w:t>Co-opted Governors:</w:t>
      </w:r>
    </w:p>
    <w:p w:rsidR="009045EF" w:rsidRPr="002B1D95" w:rsidRDefault="009045EF" w:rsidP="009045EF">
      <w:pPr>
        <w:spacing w:after="0" w:line="240" w:lineRule="auto"/>
        <w:rPr>
          <w:rFonts w:ascii="Arial" w:eastAsia="Times New Roman" w:hAnsi="Arial" w:cs="Arial"/>
          <w:b/>
          <w:sz w:val="24"/>
          <w:szCs w:val="24"/>
          <w:lang w:eastAsia="en-GB"/>
        </w:rPr>
      </w:pPr>
    </w:p>
    <w:p w:rsidR="009045EF" w:rsidRPr="002B1D95" w:rsidRDefault="009045EF" w:rsidP="009045EF">
      <w:pPr>
        <w:spacing w:after="0" w:line="240" w:lineRule="auto"/>
        <w:rPr>
          <w:rFonts w:ascii="Arial" w:eastAsia="Times New Roman" w:hAnsi="Arial" w:cs="Arial"/>
          <w:sz w:val="24"/>
          <w:szCs w:val="24"/>
          <w:lang w:eastAsia="en-GB"/>
        </w:rPr>
      </w:pPr>
      <w:r w:rsidRPr="002B1D95">
        <w:rPr>
          <w:rFonts w:ascii="Arial" w:eastAsia="Times New Roman" w:hAnsi="Arial" w:cs="Arial"/>
          <w:sz w:val="24"/>
          <w:szCs w:val="24"/>
          <w:lang w:eastAsia="en-GB"/>
        </w:rPr>
        <w:t>Karen Parker (Vice Chair), Liz Porter, John Bone, Sandra Baxter, Rob Kennett.</w:t>
      </w:r>
    </w:p>
    <w:p w:rsidR="009045EF" w:rsidRPr="002B1D95" w:rsidRDefault="009045EF" w:rsidP="009045EF">
      <w:pPr>
        <w:spacing w:after="0" w:line="240" w:lineRule="auto"/>
        <w:rPr>
          <w:rFonts w:ascii="Arial" w:eastAsia="Times New Roman" w:hAnsi="Arial" w:cs="Arial"/>
          <w:sz w:val="24"/>
          <w:szCs w:val="24"/>
          <w:lang w:eastAsia="en-GB"/>
        </w:rPr>
      </w:pPr>
    </w:p>
    <w:p w:rsidR="009045EF" w:rsidRPr="002B1D95" w:rsidRDefault="009045EF" w:rsidP="009045EF">
      <w:pPr>
        <w:rPr>
          <w:rFonts w:ascii="Arial" w:hAnsi="Arial" w:cs="Arial"/>
          <w:sz w:val="24"/>
          <w:szCs w:val="24"/>
        </w:rPr>
      </w:pPr>
      <w:r w:rsidRPr="002B1D95">
        <w:rPr>
          <w:rFonts w:ascii="Arial" w:hAnsi="Arial" w:cs="Arial"/>
          <w:sz w:val="24"/>
          <w:szCs w:val="24"/>
        </w:rPr>
        <w:t>Each year the governors along with the senior leadership Team discuss a new School development plan. This year our priorities are:</w:t>
      </w:r>
    </w:p>
    <w:p w:rsidR="009045EF" w:rsidRPr="002B1D95" w:rsidRDefault="009045EF" w:rsidP="005A61C1">
      <w:pPr>
        <w:pStyle w:val="ListParagraph"/>
        <w:numPr>
          <w:ilvl w:val="0"/>
          <w:numId w:val="2"/>
        </w:numPr>
        <w:rPr>
          <w:rFonts w:ascii="Arial" w:hAnsi="Arial" w:cs="Arial"/>
          <w:sz w:val="24"/>
          <w:szCs w:val="24"/>
        </w:rPr>
      </w:pPr>
      <w:r w:rsidRPr="002B1D95">
        <w:rPr>
          <w:rFonts w:ascii="Arial" w:hAnsi="Arial" w:cs="Arial"/>
          <w:sz w:val="24"/>
          <w:szCs w:val="24"/>
        </w:rPr>
        <w:t>To raise standards and achievement in all curricular areas for all pupils</w:t>
      </w:r>
    </w:p>
    <w:p w:rsidR="009045EF" w:rsidRPr="002B1D95" w:rsidRDefault="009045EF" w:rsidP="009045EF">
      <w:pPr>
        <w:pStyle w:val="ListParagraph"/>
        <w:numPr>
          <w:ilvl w:val="0"/>
          <w:numId w:val="2"/>
        </w:numPr>
        <w:rPr>
          <w:rFonts w:ascii="Arial" w:hAnsi="Arial" w:cs="Arial"/>
          <w:sz w:val="24"/>
          <w:szCs w:val="24"/>
        </w:rPr>
      </w:pPr>
      <w:r w:rsidRPr="002B1D95">
        <w:rPr>
          <w:rFonts w:ascii="Arial" w:hAnsi="Arial" w:cs="Arial"/>
          <w:sz w:val="24"/>
          <w:szCs w:val="24"/>
        </w:rPr>
        <w:t>Improve the quality of teaching and learning</w:t>
      </w:r>
    </w:p>
    <w:p w:rsidR="009045EF" w:rsidRPr="002B1D95" w:rsidRDefault="009045EF" w:rsidP="009045EF">
      <w:pPr>
        <w:pStyle w:val="ListParagraph"/>
        <w:numPr>
          <w:ilvl w:val="0"/>
          <w:numId w:val="2"/>
        </w:numPr>
        <w:rPr>
          <w:rFonts w:ascii="Arial" w:hAnsi="Arial" w:cs="Arial"/>
          <w:sz w:val="24"/>
          <w:szCs w:val="24"/>
        </w:rPr>
      </w:pPr>
      <w:r w:rsidRPr="002B1D95">
        <w:rPr>
          <w:rFonts w:ascii="Arial" w:hAnsi="Arial" w:cs="Arial"/>
          <w:sz w:val="24"/>
          <w:szCs w:val="24"/>
        </w:rPr>
        <w:t>Continue to improve the use of assessment information, target setting and marking</w:t>
      </w:r>
    </w:p>
    <w:p w:rsidR="009045EF" w:rsidRPr="002B1D95" w:rsidRDefault="009045EF" w:rsidP="009045EF">
      <w:pPr>
        <w:pStyle w:val="ListParagraph"/>
        <w:numPr>
          <w:ilvl w:val="0"/>
          <w:numId w:val="2"/>
        </w:numPr>
        <w:rPr>
          <w:rFonts w:ascii="Arial" w:hAnsi="Arial" w:cs="Arial"/>
          <w:sz w:val="24"/>
          <w:szCs w:val="24"/>
        </w:rPr>
      </w:pPr>
      <w:r w:rsidRPr="002B1D95">
        <w:rPr>
          <w:rFonts w:ascii="Arial" w:hAnsi="Arial" w:cs="Arial"/>
          <w:sz w:val="24"/>
          <w:szCs w:val="24"/>
        </w:rPr>
        <w:t>Improve aspects of leadership and governance.</w:t>
      </w:r>
    </w:p>
    <w:p w:rsidR="009045EF" w:rsidRPr="00CE06FB" w:rsidRDefault="009045EF" w:rsidP="009045EF">
      <w:pPr>
        <w:rPr>
          <w:rFonts w:ascii="Arial" w:hAnsi="Arial" w:cs="Arial"/>
          <w:sz w:val="24"/>
          <w:szCs w:val="24"/>
        </w:rPr>
      </w:pPr>
    </w:p>
    <w:p w:rsidR="009045EF" w:rsidRPr="00CE06FB" w:rsidRDefault="009045EF" w:rsidP="009045EF">
      <w:pPr>
        <w:rPr>
          <w:rFonts w:ascii="Arial" w:hAnsi="Arial" w:cs="Arial"/>
          <w:sz w:val="24"/>
          <w:szCs w:val="24"/>
        </w:rPr>
      </w:pPr>
      <w:r w:rsidRPr="00CE06FB">
        <w:rPr>
          <w:rFonts w:ascii="Arial" w:hAnsi="Arial" w:cs="Arial"/>
          <w:sz w:val="24"/>
          <w:szCs w:val="24"/>
        </w:rPr>
        <w:lastRenderedPageBreak/>
        <w:t xml:space="preserve">To support this, governors focus on specific key areas and report back each term at the Full Governing body. The roles and responsibilities this </w:t>
      </w:r>
      <w:r>
        <w:rPr>
          <w:rFonts w:ascii="Arial" w:hAnsi="Arial" w:cs="Arial"/>
          <w:sz w:val="24"/>
          <w:szCs w:val="24"/>
        </w:rPr>
        <w:t>year</w:t>
      </w:r>
      <w:r w:rsidRPr="00CE06FB">
        <w:rPr>
          <w:rFonts w:ascii="Arial" w:hAnsi="Arial" w:cs="Arial"/>
          <w:sz w:val="24"/>
          <w:szCs w:val="24"/>
        </w:rPr>
        <w:t xml:space="preserve"> are thus;</w:t>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0"/>
        <w:gridCol w:w="5812"/>
      </w:tblGrid>
      <w:tr w:rsidR="009045EF" w:rsidRPr="00CE06FB" w:rsidTr="001E505A">
        <w:trPr>
          <w:trHeight w:val="451"/>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SEND and Personnel</w:t>
            </w:r>
          </w:p>
          <w:p w:rsidR="009045EF" w:rsidRPr="00CE06FB" w:rsidRDefault="009045EF" w:rsidP="001E505A">
            <w:pPr>
              <w:rPr>
                <w:rFonts w:ascii="Arial" w:hAnsi="Arial" w:cs="Arial"/>
                <w:b/>
                <w:sz w:val="24"/>
                <w:szCs w:val="24"/>
              </w:rPr>
            </w:pP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Karen PARKER</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Safeguarding (including Child Protection)</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Ceri NOREY</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Health and safety</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Paul CULVER</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Premises</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John BONE</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Curriculum and Attainment</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Sandra BAXTER</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Pupil Premium</w:t>
            </w:r>
          </w:p>
        </w:tc>
        <w:tc>
          <w:tcPr>
            <w:tcW w:w="5752" w:type="dxa"/>
          </w:tcPr>
          <w:p w:rsidR="009045EF" w:rsidRPr="00CE06FB" w:rsidRDefault="009045EF" w:rsidP="001E505A">
            <w:pPr>
              <w:rPr>
                <w:rFonts w:ascii="Arial" w:hAnsi="Arial" w:cs="Arial"/>
                <w:color w:val="0070C0"/>
                <w:sz w:val="24"/>
                <w:szCs w:val="24"/>
              </w:rPr>
            </w:pPr>
            <w:r w:rsidRPr="00CE06FB">
              <w:rPr>
                <w:rFonts w:ascii="Arial" w:hAnsi="Arial" w:cs="Arial"/>
                <w:color w:val="0070C0"/>
                <w:sz w:val="24"/>
                <w:szCs w:val="24"/>
              </w:rPr>
              <w:t xml:space="preserve">      Lorraine HATTRAIT</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Early Years</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Lorraine Hattrait</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Finance</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Sandra BAXTER</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Sports Premium</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Rory COSTAIN</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Training</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Liz PORTER</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Numeracy</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Rob KENNETT</w:t>
            </w:r>
          </w:p>
        </w:tc>
      </w:tr>
      <w:tr w:rsidR="009045EF" w:rsidRPr="00CE06FB" w:rsidTr="001E505A">
        <w:trPr>
          <w:tblCellSpacing w:w="20" w:type="dxa"/>
        </w:trPr>
        <w:tc>
          <w:tcPr>
            <w:tcW w:w="3910" w:type="dxa"/>
          </w:tcPr>
          <w:p w:rsidR="009045EF" w:rsidRPr="00CE06FB" w:rsidRDefault="009045EF" w:rsidP="001E505A">
            <w:pPr>
              <w:rPr>
                <w:rFonts w:ascii="Arial" w:hAnsi="Arial" w:cs="Arial"/>
                <w:b/>
                <w:sz w:val="24"/>
                <w:szCs w:val="24"/>
              </w:rPr>
            </w:pPr>
            <w:r w:rsidRPr="00CE06FB">
              <w:rPr>
                <w:rFonts w:ascii="Arial" w:hAnsi="Arial" w:cs="Arial"/>
                <w:b/>
                <w:sz w:val="24"/>
                <w:szCs w:val="24"/>
              </w:rPr>
              <w:t>Literacy</w:t>
            </w:r>
          </w:p>
        </w:tc>
        <w:tc>
          <w:tcPr>
            <w:tcW w:w="5752" w:type="dxa"/>
          </w:tcPr>
          <w:p w:rsidR="009045EF" w:rsidRPr="00CE06FB" w:rsidRDefault="009045EF" w:rsidP="001E505A">
            <w:pPr>
              <w:ind w:left="360"/>
              <w:rPr>
                <w:rFonts w:ascii="Arial" w:hAnsi="Arial" w:cs="Arial"/>
                <w:color w:val="0070C0"/>
                <w:sz w:val="24"/>
                <w:szCs w:val="24"/>
              </w:rPr>
            </w:pPr>
            <w:r w:rsidRPr="00CE06FB">
              <w:rPr>
                <w:rFonts w:ascii="Arial" w:hAnsi="Arial" w:cs="Arial"/>
                <w:color w:val="0070C0"/>
                <w:sz w:val="24"/>
                <w:szCs w:val="24"/>
              </w:rPr>
              <w:t>Liz PORTER</w:t>
            </w:r>
          </w:p>
        </w:tc>
      </w:tr>
    </w:tbl>
    <w:p w:rsidR="009045EF" w:rsidRPr="00CE06FB" w:rsidRDefault="009045EF" w:rsidP="009045EF">
      <w:pPr>
        <w:rPr>
          <w:rFonts w:ascii="Arial" w:hAnsi="Arial" w:cs="Arial"/>
          <w:sz w:val="24"/>
          <w:szCs w:val="24"/>
        </w:rPr>
      </w:pPr>
    </w:p>
    <w:p w:rsidR="00896F8A" w:rsidRPr="009045EF" w:rsidRDefault="009045EF">
      <w:pPr>
        <w:rPr>
          <w:rFonts w:ascii="Arial" w:hAnsi="Arial" w:cs="Arial"/>
          <w:sz w:val="24"/>
          <w:szCs w:val="24"/>
        </w:rPr>
      </w:pPr>
      <w:r w:rsidRPr="009045EF">
        <w:rPr>
          <w:rFonts w:ascii="Arial" w:hAnsi="Arial" w:cs="Arial"/>
          <w:sz w:val="24"/>
          <w:szCs w:val="24"/>
        </w:rPr>
        <w:t>To keep the school community</w:t>
      </w:r>
      <w:r>
        <w:rPr>
          <w:rFonts w:ascii="Arial" w:hAnsi="Arial" w:cs="Arial"/>
          <w:sz w:val="24"/>
          <w:szCs w:val="24"/>
        </w:rPr>
        <w:t xml:space="preserve"> informed of the work we are doing we will be contributing regularly to the school newsletter in our new </w:t>
      </w:r>
      <w:r w:rsidR="00A30B95">
        <w:rPr>
          <w:rFonts w:ascii="Arial" w:hAnsi="Arial" w:cs="Arial"/>
          <w:sz w:val="24"/>
          <w:szCs w:val="24"/>
        </w:rPr>
        <w:t>“Governors</w:t>
      </w:r>
      <w:r>
        <w:rPr>
          <w:rFonts w:ascii="Arial" w:hAnsi="Arial" w:cs="Arial"/>
          <w:sz w:val="24"/>
          <w:szCs w:val="24"/>
        </w:rPr>
        <w:t xml:space="preserve"> Corner”</w:t>
      </w:r>
      <w:r w:rsidR="00A30B95">
        <w:rPr>
          <w:rFonts w:ascii="Arial" w:hAnsi="Arial" w:cs="Arial"/>
          <w:sz w:val="24"/>
          <w:szCs w:val="24"/>
        </w:rPr>
        <w:t>. We hope you find the information interesting and would welcome any feedback via the Chair.</w:t>
      </w:r>
    </w:p>
    <w:sectPr w:rsidR="00896F8A" w:rsidRPr="00904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6DC2"/>
    <w:multiLevelType w:val="hybridMultilevel"/>
    <w:tmpl w:val="E1FA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A0B31"/>
    <w:multiLevelType w:val="hybridMultilevel"/>
    <w:tmpl w:val="ECAA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F"/>
    <w:rsid w:val="000C5E99"/>
    <w:rsid w:val="002B1D95"/>
    <w:rsid w:val="00896F8A"/>
    <w:rsid w:val="009045EF"/>
    <w:rsid w:val="00A3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0DF6-92CB-4AB5-9014-A275A3D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5EF"/>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Norey Ceri A - TP - C&amp;S</dc:creator>
  <cp:keywords/>
  <dc:description/>
  <cp:lastModifiedBy>Nikki Coshall</cp:lastModifiedBy>
  <cp:revision>2</cp:revision>
  <dcterms:created xsi:type="dcterms:W3CDTF">2016-11-09T14:37:00Z</dcterms:created>
  <dcterms:modified xsi:type="dcterms:W3CDTF">2016-11-09T14:37:00Z</dcterms:modified>
</cp:coreProperties>
</file>